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2B" w:rsidRPr="00375DA0" w:rsidRDefault="00C4737D" w:rsidP="001A3152">
      <w:pPr>
        <w:jc w:val="center"/>
        <w:rPr>
          <w:b/>
          <w:color w:val="2E74B5" w:themeColor="accent1" w:themeShade="BF"/>
          <w:sz w:val="24"/>
          <w:szCs w:val="24"/>
          <w:u w:val="single"/>
          <w:lang w:val="en-GB"/>
        </w:rPr>
      </w:pPr>
      <w:r w:rsidRPr="00375DA0">
        <w:rPr>
          <w:b/>
          <w:color w:val="2E74B5" w:themeColor="accent1" w:themeShade="BF"/>
          <w:sz w:val="24"/>
          <w:szCs w:val="24"/>
          <w:u w:val="single"/>
          <w:lang w:val="en-GB"/>
        </w:rPr>
        <w:t xml:space="preserve">LEPL </w:t>
      </w:r>
      <w:r w:rsidR="00B8126F">
        <w:rPr>
          <w:b/>
          <w:color w:val="2E74B5" w:themeColor="accent1" w:themeShade="BF"/>
          <w:sz w:val="24"/>
          <w:szCs w:val="24"/>
          <w:u w:val="single"/>
          <w:lang w:val="en-GB"/>
        </w:rPr>
        <w:t>STATE</w:t>
      </w:r>
      <w:r w:rsidRPr="00375DA0">
        <w:rPr>
          <w:b/>
          <w:color w:val="2E74B5" w:themeColor="accent1" w:themeShade="BF"/>
          <w:sz w:val="24"/>
          <w:szCs w:val="24"/>
          <w:u w:val="single"/>
          <w:lang w:val="en-GB"/>
        </w:rPr>
        <w:t xml:space="preserve"> PROCUREMENT AGENCY</w:t>
      </w:r>
    </w:p>
    <w:p w:rsidR="00C87D2A" w:rsidRPr="00375DA0" w:rsidRDefault="00C87D2A" w:rsidP="00BB7835">
      <w:pPr>
        <w:spacing w:after="0"/>
        <w:rPr>
          <w:rFonts w:cstheme="minorHAnsi"/>
          <w:b/>
          <w:sz w:val="16"/>
          <w:szCs w:val="16"/>
          <w:lang w:val="en-GB"/>
        </w:rPr>
      </w:pPr>
    </w:p>
    <w:tbl>
      <w:tblPr>
        <w:tblW w:w="6213" w:type="pct"/>
        <w:tblInd w:w="-117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1459"/>
        <w:gridCol w:w="754"/>
        <w:gridCol w:w="808"/>
        <w:gridCol w:w="632"/>
        <w:gridCol w:w="838"/>
        <w:gridCol w:w="569"/>
        <w:gridCol w:w="522"/>
        <w:gridCol w:w="1136"/>
        <w:gridCol w:w="1097"/>
        <w:gridCol w:w="1098"/>
        <w:gridCol w:w="1200"/>
        <w:gridCol w:w="1493"/>
      </w:tblGrid>
      <w:tr w:rsidR="009D7D6A" w:rsidRPr="00375DA0" w:rsidTr="000F48D7">
        <w:trPr>
          <w:trHeight w:val="495"/>
        </w:trPr>
        <w:tc>
          <w:tcPr>
            <w:tcW w:w="5000" w:type="pct"/>
            <w:gridSpan w:val="12"/>
            <w:shd w:val="clear" w:color="auto" w:fill="9CC2E5" w:themeFill="accent1" w:themeFillTint="99"/>
            <w:vAlign w:val="center"/>
          </w:tcPr>
          <w:p w:rsidR="009D7D6A" w:rsidRPr="00375DA0" w:rsidRDefault="009D7D6A" w:rsidP="007D2E1B">
            <w:pPr>
              <w:spacing w:after="0" w:line="240" w:lineRule="auto"/>
              <w:jc w:val="center"/>
              <w:rPr>
                <w:b/>
                <w:sz w:val="20"/>
                <w:szCs w:val="20"/>
                <w:lang w:val="en-GB"/>
              </w:rPr>
            </w:pPr>
            <w:r w:rsidRPr="00375DA0">
              <w:rPr>
                <w:b/>
                <w:sz w:val="20"/>
                <w:szCs w:val="20"/>
                <w:lang w:val="en-GB"/>
              </w:rPr>
              <w:t>PUBLIC PROCUREMENT</w:t>
            </w:r>
          </w:p>
        </w:tc>
      </w:tr>
      <w:tr w:rsidR="000F48D7" w:rsidRPr="00375DA0" w:rsidTr="001D4FE6">
        <w:trPr>
          <w:trHeight w:val="495"/>
        </w:trPr>
        <w:tc>
          <w:tcPr>
            <w:tcW w:w="953" w:type="pct"/>
            <w:gridSpan w:val="2"/>
            <w:shd w:val="clear" w:color="000000" w:fill="FFE699"/>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EU Law</w:t>
            </w:r>
          </w:p>
        </w:tc>
        <w:tc>
          <w:tcPr>
            <w:tcW w:w="348" w:type="pct"/>
            <w:vMerge w:val="restart"/>
            <w:shd w:val="clear" w:color="000000" w:fill="FFD966"/>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Deadline</w:t>
            </w:r>
          </w:p>
        </w:tc>
        <w:tc>
          <w:tcPr>
            <w:tcW w:w="272" w:type="pct"/>
            <w:vMerge w:val="restart"/>
            <w:shd w:val="clear" w:color="000000" w:fill="70AD47"/>
            <w:vAlign w:val="center"/>
            <w:hideMark/>
          </w:tcPr>
          <w:p w:rsidR="00BB7835" w:rsidRPr="00375DA0" w:rsidRDefault="00BB7835" w:rsidP="000F48D7">
            <w:pPr>
              <w:spacing w:after="0" w:line="240" w:lineRule="auto"/>
              <w:jc w:val="center"/>
              <w:rPr>
                <w:b/>
                <w:sz w:val="16"/>
                <w:szCs w:val="16"/>
                <w:lang w:val="en-GB"/>
              </w:rPr>
            </w:pPr>
            <w:r w:rsidRPr="00375DA0">
              <w:rPr>
                <w:b/>
                <w:sz w:val="16"/>
                <w:szCs w:val="16"/>
                <w:lang w:val="en-GB"/>
              </w:rPr>
              <w:t xml:space="preserve">LA </w:t>
            </w:r>
            <w:r w:rsidRPr="00375DA0">
              <w:rPr>
                <w:b/>
                <w:sz w:val="16"/>
                <w:szCs w:val="16"/>
                <w:lang w:val="en-GB"/>
              </w:rPr>
              <w:br/>
              <w:t>Status</w:t>
            </w:r>
          </w:p>
        </w:tc>
        <w:tc>
          <w:tcPr>
            <w:tcW w:w="606" w:type="pct"/>
            <w:gridSpan w:val="2"/>
            <w:shd w:val="clear" w:color="000000" w:fill="A9D08E"/>
            <w:noWrap/>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Year</w:t>
            </w:r>
          </w:p>
        </w:tc>
        <w:tc>
          <w:tcPr>
            <w:tcW w:w="714" w:type="pct"/>
            <w:gridSpan w:val="2"/>
            <w:shd w:val="clear" w:color="000000" w:fill="A9D08E"/>
            <w:noWrap/>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Domestic Legislation</w:t>
            </w:r>
          </w:p>
        </w:tc>
        <w:tc>
          <w:tcPr>
            <w:tcW w:w="946" w:type="pct"/>
            <w:gridSpan w:val="2"/>
            <w:shd w:val="clear" w:color="000000" w:fill="A9D08E"/>
            <w:noWrap/>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Institution(s) In Charge</w:t>
            </w:r>
          </w:p>
        </w:tc>
        <w:tc>
          <w:tcPr>
            <w:tcW w:w="517" w:type="pct"/>
            <w:vMerge w:val="restart"/>
            <w:shd w:val="clear" w:color="000000" w:fill="A9D08E"/>
            <w:vAlign w:val="center"/>
            <w:hideMark/>
          </w:tcPr>
          <w:p w:rsidR="00BB7835" w:rsidRPr="00375DA0" w:rsidRDefault="00BB7835" w:rsidP="00BB7835">
            <w:pPr>
              <w:spacing w:after="0" w:line="240" w:lineRule="auto"/>
              <w:jc w:val="center"/>
              <w:rPr>
                <w:b/>
                <w:sz w:val="16"/>
                <w:szCs w:val="16"/>
                <w:lang w:val="en-GB"/>
              </w:rPr>
            </w:pPr>
            <w:r w:rsidRPr="00375DA0">
              <w:rPr>
                <w:b/>
                <w:sz w:val="16"/>
                <w:szCs w:val="16"/>
                <w:lang w:val="en-GB"/>
              </w:rPr>
              <w:t>COMMENTS</w:t>
            </w:r>
          </w:p>
        </w:tc>
        <w:tc>
          <w:tcPr>
            <w:tcW w:w="643" w:type="pct"/>
            <w:vMerge w:val="restart"/>
            <w:shd w:val="clear" w:color="000000" w:fill="A9D08E"/>
            <w:vAlign w:val="center"/>
          </w:tcPr>
          <w:p w:rsidR="00BB7835" w:rsidRPr="00375DA0" w:rsidRDefault="00BB7835" w:rsidP="00BB7835">
            <w:pPr>
              <w:spacing w:after="0" w:line="240" w:lineRule="auto"/>
              <w:jc w:val="center"/>
              <w:rPr>
                <w:b/>
                <w:sz w:val="16"/>
                <w:szCs w:val="16"/>
                <w:lang w:val="en-GB"/>
              </w:rPr>
            </w:pPr>
            <w:r w:rsidRPr="00375DA0">
              <w:rPr>
                <w:b/>
                <w:sz w:val="16"/>
                <w:szCs w:val="16"/>
                <w:lang w:val="en-GB"/>
              </w:rPr>
              <w:t>REFERENCE</w:t>
            </w:r>
          </w:p>
        </w:tc>
      </w:tr>
      <w:tr w:rsidR="000F48D7" w:rsidRPr="00375DA0" w:rsidTr="001D4FE6">
        <w:trPr>
          <w:trHeight w:val="810"/>
        </w:trPr>
        <w:tc>
          <w:tcPr>
            <w:tcW w:w="629" w:type="pct"/>
            <w:shd w:val="clear" w:color="000000" w:fill="FFF2CC"/>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br/>
              <w:t>as per AA</w:t>
            </w:r>
          </w:p>
        </w:tc>
        <w:tc>
          <w:tcPr>
            <w:tcW w:w="325" w:type="pct"/>
            <w:shd w:val="clear" w:color="000000" w:fill="FFF2CC"/>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br/>
              <w:t>as per changes since AA</w:t>
            </w:r>
          </w:p>
        </w:tc>
        <w:tc>
          <w:tcPr>
            <w:tcW w:w="348" w:type="pct"/>
            <w:vMerge/>
            <w:hideMark/>
          </w:tcPr>
          <w:p w:rsidR="009D7D6A" w:rsidRPr="00375DA0" w:rsidRDefault="009D7D6A" w:rsidP="00D90757">
            <w:pPr>
              <w:spacing w:after="0" w:line="240" w:lineRule="auto"/>
              <w:jc w:val="center"/>
              <w:rPr>
                <w:sz w:val="16"/>
                <w:szCs w:val="16"/>
                <w:lang w:val="en-GB"/>
              </w:rPr>
            </w:pPr>
          </w:p>
        </w:tc>
        <w:tc>
          <w:tcPr>
            <w:tcW w:w="272" w:type="pct"/>
            <w:vMerge/>
            <w:hideMark/>
          </w:tcPr>
          <w:p w:rsidR="009D7D6A" w:rsidRPr="00375DA0" w:rsidRDefault="009D7D6A" w:rsidP="00D90757">
            <w:pPr>
              <w:spacing w:after="0" w:line="240" w:lineRule="auto"/>
              <w:jc w:val="center"/>
              <w:rPr>
                <w:sz w:val="16"/>
                <w:szCs w:val="16"/>
                <w:lang w:val="en-GB"/>
              </w:rPr>
            </w:pPr>
          </w:p>
        </w:tc>
        <w:tc>
          <w:tcPr>
            <w:tcW w:w="361"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Adoption</w:t>
            </w:r>
          </w:p>
        </w:tc>
        <w:tc>
          <w:tcPr>
            <w:tcW w:w="245"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Entry into force</w:t>
            </w:r>
          </w:p>
        </w:tc>
        <w:tc>
          <w:tcPr>
            <w:tcW w:w="225"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New</w:t>
            </w:r>
          </w:p>
        </w:tc>
        <w:tc>
          <w:tcPr>
            <w:tcW w:w="489"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Amendments</w:t>
            </w:r>
          </w:p>
        </w:tc>
        <w:tc>
          <w:tcPr>
            <w:tcW w:w="473"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Leader</w:t>
            </w:r>
          </w:p>
        </w:tc>
        <w:tc>
          <w:tcPr>
            <w:tcW w:w="473" w:type="pct"/>
            <w:shd w:val="clear" w:color="000000" w:fill="E2EFDA"/>
            <w:vAlign w:val="center"/>
            <w:hideMark/>
          </w:tcPr>
          <w:p w:rsidR="009D7D6A" w:rsidRPr="00375DA0" w:rsidRDefault="009D7D6A" w:rsidP="007D2E1B">
            <w:pPr>
              <w:spacing w:after="0" w:line="240" w:lineRule="auto"/>
              <w:jc w:val="center"/>
              <w:rPr>
                <w:b/>
                <w:sz w:val="16"/>
                <w:szCs w:val="16"/>
                <w:lang w:val="en-GB"/>
              </w:rPr>
            </w:pPr>
            <w:r w:rsidRPr="00375DA0">
              <w:rPr>
                <w:b/>
                <w:sz w:val="16"/>
                <w:szCs w:val="16"/>
                <w:lang w:val="en-GB"/>
              </w:rPr>
              <w:t>Partner(s)</w:t>
            </w:r>
          </w:p>
        </w:tc>
        <w:tc>
          <w:tcPr>
            <w:tcW w:w="517" w:type="pct"/>
            <w:vMerge/>
            <w:hideMark/>
          </w:tcPr>
          <w:p w:rsidR="009D7D6A" w:rsidRPr="00375DA0" w:rsidRDefault="009D7D6A" w:rsidP="007D2E1B">
            <w:pPr>
              <w:spacing w:after="0" w:line="240" w:lineRule="auto"/>
              <w:jc w:val="both"/>
              <w:rPr>
                <w:sz w:val="16"/>
                <w:szCs w:val="16"/>
                <w:lang w:val="en-GB"/>
              </w:rPr>
            </w:pPr>
          </w:p>
        </w:tc>
        <w:tc>
          <w:tcPr>
            <w:tcW w:w="643" w:type="pct"/>
            <w:vMerge/>
          </w:tcPr>
          <w:p w:rsidR="009D7D6A" w:rsidRPr="00375DA0" w:rsidRDefault="009D7D6A" w:rsidP="007D2E1B">
            <w:pPr>
              <w:spacing w:after="0" w:line="240" w:lineRule="auto"/>
              <w:jc w:val="both"/>
              <w:rPr>
                <w:sz w:val="16"/>
                <w:szCs w:val="16"/>
                <w:lang w:val="en-GB"/>
              </w:rPr>
            </w:pPr>
          </w:p>
        </w:tc>
      </w:tr>
      <w:tr w:rsidR="00BB7835" w:rsidRPr="00375DA0" w:rsidTr="001D4FE6">
        <w:trPr>
          <w:trHeight w:val="2041"/>
        </w:trPr>
        <w:tc>
          <w:tcPr>
            <w:tcW w:w="629" w:type="pct"/>
            <w:shd w:val="clear" w:color="auto" w:fill="auto"/>
            <w:hideMark/>
          </w:tcPr>
          <w:p w:rsidR="009D7D6A" w:rsidRPr="00375DA0" w:rsidRDefault="009D7D6A" w:rsidP="00BB7835">
            <w:pPr>
              <w:rPr>
                <w:sz w:val="16"/>
                <w:szCs w:val="16"/>
                <w:lang w:val="en-GB"/>
              </w:rPr>
            </w:pPr>
            <w:r w:rsidRPr="00375DA0">
              <w:rPr>
                <w:sz w:val="16"/>
                <w:szCs w:val="16"/>
                <w:lang w:val="en-GB"/>
              </w:rPr>
              <w:t>Directive 2014/24/EU of the European Parliament and of the Council of 26 February 2014 on public procurement and repealing Directive 2004/18/EC</w:t>
            </w:r>
          </w:p>
        </w:tc>
        <w:tc>
          <w:tcPr>
            <w:tcW w:w="325" w:type="pct"/>
            <w:shd w:val="clear" w:color="auto" w:fill="auto"/>
            <w:hideMark/>
          </w:tcPr>
          <w:p w:rsidR="009D7D6A" w:rsidRPr="00375DA0" w:rsidRDefault="009D7D6A" w:rsidP="00BB7835">
            <w:pPr>
              <w:rPr>
                <w:sz w:val="16"/>
                <w:szCs w:val="16"/>
                <w:lang w:val="en-GB"/>
              </w:rPr>
            </w:pPr>
          </w:p>
        </w:tc>
        <w:tc>
          <w:tcPr>
            <w:tcW w:w="348" w:type="pct"/>
            <w:shd w:val="clear" w:color="auto" w:fill="auto"/>
            <w:hideMark/>
          </w:tcPr>
          <w:p w:rsidR="009D7D6A" w:rsidRPr="00375DA0" w:rsidRDefault="009D7D6A" w:rsidP="00BB7835">
            <w:pPr>
              <w:rPr>
                <w:sz w:val="16"/>
                <w:szCs w:val="16"/>
                <w:lang w:val="en-GB"/>
              </w:rPr>
            </w:pPr>
            <w:r w:rsidRPr="00375DA0">
              <w:rPr>
                <w:sz w:val="16"/>
                <w:szCs w:val="16"/>
                <w:lang w:val="en-GB"/>
              </w:rPr>
              <w:t>2019</w:t>
            </w:r>
          </w:p>
        </w:tc>
        <w:tc>
          <w:tcPr>
            <w:tcW w:w="272" w:type="pct"/>
            <w:shd w:val="clear" w:color="auto" w:fill="auto"/>
            <w:noWrap/>
            <w:hideMark/>
          </w:tcPr>
          <w:p w:rsidR="009D7D6A" w:rsidRPr="00375DA0" w:rsidRDefault="009D7D6A" w:rsidP="00BB7835">
            <w:pPr>
              <w:rPr>
                <w:sz w:val="16"/>
                <w:szCs w:val="16"/>
                <w:lang w:val="en-GB"/>
              </w:rPr>
            </w:pPr>
            <w:r w:rsidRPr="00375DA0">
              <w:rPr>
                <w:sz w:val="16"/>
                <w:szCs w:val="16"/>
                <w:lang w:val="en-GB"/>
              </w:rPr>
              <w:t>NO</w:t>
            </w:r>
          </w:p>
        </w:tc>
        <w:tc>
          <w:tcPr>
            <w:tcW w:w="361" w:type="pct"/>
            <w:shd w:val="clear" w:color="auto" w:fill="auto"/>
            <w:hideMark/>
          </w:tcPr>
          <w:p w:rsidR="009D7D6A" w:rsidRPr="00375DA0" w:rsidRDefault="009D7D6A" w:rsidP="00BB7835">
            <w:pPr>
              <w:rPr>
                <w:sz w:val="16"/>
                <w:szCs w:val="16"/>
                <w:lang w:val="en-GB"/>
              </w:rPr>
            </w:pPr>
          </w:p>
        </w:tc>
        <w:tc>
          <w:tcPr>
            <w:tcW w:w="245" w:type="pct"/>
            <w:shd w:val="clear" w:color="auto" w:fill="auto"/>
            <w:hideMark/>
          </w:tcPr>
          <w:p w:rsidR="009D7D6A" w:rsidRPr="00375DA0" w:rsidRDefault="009D7D6A" w:rsidP="00BB7835">
            <w:pPr>
              <w:rPr>
                <w:sz w:val="16"/>
                <w:szCs w:val="16"/>
                <w:lang w:val="en-GB"/>
              </w:rPr>
            </w:pPr>
          </w:p>
        </w:tc>
        <w:tc>
          <w:tcPr>
            <w:tcW w:w="225" w:type="pct"/>
            <w:shd w:val="clear" w:color="auto" w:fill="auto"/>
            <w:hideMark/>
          </w:tcPr>
          <w:p w:rsidR="009D7D6A" w:rsidRPr="00375DA0" w:rsidRDefault="009D7D6A" w:rsidP="00BB7835">
            <w:pPr>
              <w:rPr>
                <w:sz w:val="16"/>
                <w:szCs w:val="16"/>
                <w:lang w:val="en-GB"/>
              </w:rPr>
            </w:pPr>
          </w:p>
        </w:tc>
        <w:tc>
          <w:tcPr>
            <w:tcW w:w="489" w:type="pct"/>
            <w:shd w:val="clear" w:color="auto" w:fill="auto"/>
            <w:hideMark/>
          </w:tcPr>
          <w:p w:rsidR="009D7D6A" w:rsidRPr="00375DA0" w:rsidRDefault="008442A1" w:rsidP="00BB7835">
            <w:pPr>
              <w:rPr>
                <w:sz w:val="16"/>
                <w:szCs w:val="16"/>
                <w:lang w:val="en-GB"/>
              </w:rPr>
            </w:pPr>
            <w:r w:rsidRPr="00375DA0">
              <w:rPr>
                <w:sz w:val="16"/>
                <w:szCs w:val="16"/>
                <w:lang w:val="en-GB"/>
              </w:rPr>
              <w:t>Law of Georgia "On Amendments to the Law On State Procurement"</w:t>
            </w:r>
          </w:p>
        </w:tc>
        <w:tc>
          <w:tcPr>
            <w:tcW w:w="473" w:type="pct"/>
            <w:shd w:val="clear" w:color="auto" w:fill="auto"/>
            <w:hideMark/>
          </w:tcPr>
          <w:p w:rsidR="009D7D6A" w:rsidRPr="004B4F9C" w:rsidRDefault="004B4F9C" w:rsidP="00BB7835">
            <w:pPr>
              <w:rPr>
                <w:rFonts w:ascii="Sylfaen" w:hAnsi="Sylfaen"/>
                <w:sz w:val="16"/>
                <w:szCs w:val="16"/>
              </w:rPr>
            </w:pPr>
            <w:r>
              <w:rPr>
                <w:sz w:val="16"/>
                <w:szCs w:val="16"/>
              </w:rPr>
              <w:t>LEPL State Procurement Agency</w:t>
            </w:r>
          </w:p>
        </w:tc>
        <w:tc>
          <w:tcPr>
            <w:tcW w:w="473" w:type="pct"/>
            <w:shd w:val="clear" w:color="auto" w:fill="auto"/>
            <w:hideMark/>
          </w:tcPr>
          <w:p w:rsidR="009D7D6A" w:rsidRDefault="004B4F9C" w:rsidP="00BB7835">
            <w:pPr>
              <w:rPr>
                <w:sz w:val="16"/>
                <w:szCs w:val="16"/>
                <w:lang w:val="en-GB"/>
              </w:rPr>
            </w:pPr>
            <w:r>
              <w:rPr>
                <w:sz w:val="16"/>
                <w:szCs w:val="16"/>
                <w:lang w:val="en-GB"/>
              </w:rPr>
              <w:t>Ministry of Economy and Sustainable Development</w:t>
            </w:r>
          </w:p>
          <w:p w:rsidR="00E855C1" w:rsidRPr="00375DA0" w:rsidRDefault="00E855C1" w:rsidP="00BB7835">
            <w:pPr>
              <w:rPr>
                <w:sz w:val="16"/>
                <w:szCs w:val="16"/>
                <w:lang w:val="en-GB"/>
              </w:rPr>
            </w:pPr>
            <w:r w:rsidRPr="0084351E">
              <w:rPr>
                <w:rFonts w:eastAsia="Times New Roman" w:cstheme="minorHAnsi"/>
                <w:sz w:val="16"/>
                <w:szCs w:val="16"/>
                <w:lang w:val="en-GB"/>
              </w:rPr>
              <w:t>Ministry of Finance</w:t>
            </w:r>
          </w:p>
        </w:tc>
        <w:tc>
          <w:tcPr>
            <w:tcW w:w="517" w:type="pct"/>
            <w:shd w:val="clear" w:color="auto" w:fill="auto"/>
            <w:hideMark/>
          </w:tcPr>
          <w:p w:rsidR="009D7D6A" w:rsidRPr="00375DA0" w:rsidRDefault="009D7D6A" w:rsidP="000F48D7">
            <w:pPr>
              <w:rPr>
                <w:sz w:val="16"/>
                <w:szCs w:val="16"/>
                <w:lang w:val="en-GB"/>
              </w:rPr>
            </w:pPr>
          </w:p>
        </w:tc>
        <w:tc>
          <w:tcPr>
            <w:tcW w:w="643" w:type="pct"/>
            <w:shd w:val="clear" w:color="000000" w:fill="FFFFFF"/>
          </w:tcPr>
          <w:p w:rsidR="009D7D6A" w:rsidRPr="00375DA0" w:rsidRDefault="009D7D6A" w:rsidP="00BB7835">
            <w:pPr>
              <w:rPr>
                <w:sz w:val="16"/>
                <w:szCs w:val="16"/>
                <w:lang w:val="en-GB"/>
              </w:rPr>
            </w:pPr>
          </w:p>
        </w:tc>
      </w:tr>
      <w:tr w:rsidR="001D4FE6" w:rsidRPr="00375DA0" w:rsidTr="008442A1">
        <w:trPr>
          <w:trHeight w:val="4908"/>
        </w:trPr>
        <w:tc>
          <w:tcPr>
            <w:tcW w:w="629" w:type="pct"/>
            <w:shd w:val="clear" w:color="auto" w:fill="auto"/>
          </w:tcPr>
          <w:p w:rsidR="001D4FE6" w:rsidRPr="00375DA0" w:rsidRDefault="001D4FE6" w:rsidP="001D4FE6">
            <w:pPr>
              <w:rPr>
                <w:sz w:val="16"/>
                <w:szCs w:val="16"/>
                <w:lang w:val="en-GB"/>
              </w:rPr>
            </w:pPr>
            <w:r w:rsidRPr="0084351E">
              <w:rPr>
                <w:rFonts w:eastAsia="Times New Roman" w:cstheme="minorHAnsi"/>
                <w:color w:val="000000"/>
                <w:sz w:val="16"/>
                <w:szCs w:val="16"/>
                <w:lang w:val="en-GB"/>
              </w:rPr>
              <w:t>*Council Directive 89/665/EEC of 21 December 1989 on the coordination of the laws, regulations and administrative provisions relating to the application of review procedures to the award of public supply and public works contracts</w:t>
            </w:r>
            <w:r w:rsidRPr="0084351E">
              <w:rPr>
                <w:rFonts w:eastAsia="Times New Roman" w:cstheme="minorHAnsi"/>
                <w:color w:val="000000"/>
                <w:sz w:val="16"/>
                <w:szCs w:val="16"/>
                <w:lang w:val="en-GB"/>
              </w:rPr>
              <w:br/>
              <w:t>as amended by Directive 2007/66/EC of the European Parliament and of the Council and Directive 2014/23/EU of the European Parliament and of the Council</w:t>
            </w:r>
          </w:p>
        </w:tc>
        <w:tc>
          <w:tcPr>
            <w:tcW w:w="325" w:type="pct"/>
            <w:shd w:val="clear" w:color="auto" w:fill="auto"/>
          </w:tcPr>
          <w:p w:rsidR="001D4FE6" w:rsidRPr="00375DA0" w:rsidRDefault="001D4FE6" w:rsidP="001D4FE6">
            <w:pPr>
              <w:rPr>
                <w:sz w:val="16"/>
                <w:szCs w:val="16"/>
                <w:lang w:val="en-GB"/>
              </w:rPr>
            </w:pPr>
          </w:p>
        </w:tc>
        <w:tc>
          <w:tcPr>
            <w:tcW w:w="348" w:type="pct"/>
            <w:shd w:val="clear" w:color="auto" w:fill="auto"/>
          </w:tcPr>
          <w:p w:rsidR="001D4FE6" w:rsidRPr="00375DA0" w:rsidRDefault="001D4FE6" w:rsidP="001D4FE6">
            <w:pPr>
              <w:rPr>
                <w:sz w:val="16"/>
                <w:szCs w:val="16"/>
                <w:lang w:val="en-GB"/>
              </w:rPr>
            </w:pPr>
            <w:r>
              <w:rPr>
                <w:rFonts w:eastAsia="Times New Roman" w:cstheme="minorHAnsi"/>
                <w:color w:val="000000"/>
                <w:sz w:val="16"/>
                <w:szCs w:val="16"/>
                <w:lang w:val="en-GB"/>
              </w:rPr>
              <w:t>2019</w:t>
            </w:r>
          </w:p>
        </w:tc>
        <w:tc>
          <w:tcPr>
            <w:tcW w:w="272" w:type="pct"/>
            <w:shd w:val="clear" w:color="auto" w:fill="auto"/>
            <w:noWrap/>
          </w:tcPr>
          <w:p w:rsidR="001D4FE6" w:rsidRPr="00375DA0" w:rsidRDefault="008442A1" w:rsidP="001D4FE6">
            <w:pPr>
              <w:rPr>
                <w:sz w:val="16"/>
                <w:szCs w:val="16"/>
                <w:lang w:val="en-GB"/>
              </w:rPr>
            </w:pPr>
            <w:r w:rsidRPr="00375DA0">
              <w:rPr>
                <w:sz w:val="16"/>
                <w:szCs w:val="16"/>
                <w:lang w:val="en-GB"/>
              </w:rPr>
              <w:t>NO</w:t>
            </w:r>
          </w:p>
        </w:tc>
        <w:tc>
          <w:tcPr>
            <w:tcW w:w="361" w:type="pct"/>
            <w:shd w:val="clear" w:color="auto" w:fill="auto"/>
          </w:tcPr>
          <w:p w:rsidR="001D4FE6" w:rsidRPr="00375DA0" w:rsidRDefault="001D4FE6" w:rsidP="001D4FE6">
            <w:pPr>
              <w:rPr>
                <w:sz w:val="16"/>
                <w:szCs w:val="16"/>
                <w:lang w:val="en-GB"/>
              </w:rPr>
            </w:pPr>
          </w:p>
        </w:tc>
        <w:tc>
          <w:tcPr>
            <w:tcW w:w="245" w:type="pct"/>
            <w:shd w:val="clear" w:color="auto" w:fill="auto"/>
          </w:tcPr>
          <w:p w:rsidR="001D4FE6" w:rsidRPr="00375DA0" w:rsidRDefault="001D4FE6" w:rsidP="001D4FE6">
            <w:pPr>
              <w:rPr>
                <w:sz w:val="16"/>
                <w:szCs w:val="16"/>
                <w:lang w:val="en-GB"/>
              </w:rPr>
            </w:pPr>
          </w:p>
        </w:tc>
        <w:tc>
          <w:tcPr>
            <w:tcW w:w="225" w:type="pct"/>
            <w:shd w:val="clear" w:color="auto" w:fill="auto"/>
          </w:tcPr>
          <w:p w:rsidR="001D4FE6" w:rsidRPr="00375DA0" w:rsidRDefault="001D4FE6" w:rsidP="001D4FE6">
            <w:pPr>
              <w:rPr>
                <w:sz w:val="16"/>
                <w:szCs w:val="16"/>
                <w:lang w:val="en-GB"/>
              </w:rPr>
            </w:pPr>
          </w:p>
        </w:tc>
        <w:tc>
          <w:tcPr>
            <w:tcW w:w="489" w:type="pct"/>
            <w:shd w:val="clear" w:color="auto" w:fill="auto"/>
          </w:tcPr>
          <w:p w:rsidR="001D4FE6" w:rsidRPr="0084351E" w:rsidRDefault="008442A1" w:rsidP="008442A1">
            <w:pPr>
              <w:spacing w:after="0" w:line="240" w:lineRule="auto"/>
              <w:rPr>
                <w:rFonts w:eastAsia="Times New Roman" w:cstheme="minorHAnsi"/>
                <w:sz w:val="16"/>
                <w:szCs w:val="16"/>
                <w:lang w:val="en-GB"/>
              </w:rPr>
            </w:pPr>
            <w:r w:rsidRPr="00375DA0">
              <w:rPr>
                <w:sz w:val="16"/>
                <w:szCs w:val="16"/>
                <w:lang w:val="en-GB"/>
              </w:rPr>
              <w:t>Law of Georgia "On Amendments to the Law On State Procurement"</w:t>
            </w:r>
          </w:p>
        </w:tc>
        <w:tc>
          <w:tcPr>
            <w:tcW w:w="473" w:type="pct"/>
            <w:shd w:val="clear" w:color="auto" w:fill="auto"/>
          </w:tcPr>
          <w:p w:rsidR="001D4FE6" w:rsidRPr="0084351E" w:rsidRDefault="00E855C1" w:rsidP="008442A1">
            <w:pPr>
              <w:spacing w:after="0" w:line="240" w:lineRule="auto"/>
              <w:rPr>
                <w:rFonts w:eastAsia="Times New Roman" w:cstheme="minorHAnsi"/>
                <w:sz w:val="16"/>
                <w:szCs w:val="16"/>
                <w:lang w:val="en-GB"/>
              </w:rPr>
            </w:pPr>
            <w:r>
              <w:rPr>
                <w:rFonts w:eastAsia="Times New Roman" w:cstheme="minorHAnsi"/>
                <w:sz w:val="16"/>
                <w:szCs w:val="16"/>
                <w:lang w:val="en-GB"/>
              </w:rPr>
              <w:t xml:space="preserve">LEPL </w:t>
            </w:r>
            <w:r w:rsidR="008442A1">
              <w:rPr>
                <w:rFonts w:eastAsia="Times New Roman" w:cstheme="minorHAnsi"/>
                <w:sz w:val="16"/>
                <w:szCs w:val="16"/>
                <w:lang w:val="en-GB"/>
              </w:rPr>
              <w:t>State</w:t>
            </w:r>
            <w:r w:rsidR="008442A1" w:rsidRPr="0084351E">
              <w:rPr>
                <w:rFonts w:eastAsia="Times New Roman" w:cstheme="minorHAnsi"/>
                <w:sz w:val="16"/>
                <w:szCs w:val="16"/>
                <w:lang w:val="en-GB"/>
              </w:rPr>
              <w:t xml:space="preserve"> Procurement Agency</w:t>
            </w:r>
          </w:p>
        </w:tc>
        <w:tc>
          <w:tcPr>
            <w:tcW w:w="473" w:type="pct"/>
            <w:shd w:val="clear" w:color="auto" w:fill="auto"/>
          </w:tcPr>
          <w:p w:rsidR="006E39B8" w:rsidRDefault="008442A1" w:rsidP="001D4FE6">
            <w:pPr>
              <w:rPr>
                <w:rFonts w:eastAsia="Times New Roman" w:cstheme="minorHAnsi"/>
                <w:sz w:val="16"/>
                <w:szCs w:val="16"/>
                <w:lang w:val="en-GB"/>
              </w:rPr>
            </w:pPr>
            <w:r w:rsidRPr="0084351E">
              <w:rPr>
                <w:rFonts w:eastAsia="Times New Roman" w:cstheme="minorHAnsi"/>
                <w:sz w:val="16"/>
                <w:szCs w:val="16"/>
                <w:lang w:val="en-GB"/>
              </w:rPr>
              <w:t>Ministry of Econ</w:t>
            </w:r>
            <w:r w:rsidR="006E39B8">
              <w:rPr>
                <w:rFonts w:eastAsia="Times New Roman" w:cstheme="minorHAnsi"/>
                <w:sz w:val="16"/>
                <w:szCs w:val="16"/>
                <w:lang w:val="en-GB"/>
              </w:rPr>
              <w:t>omy and Sustainable Development</w:t>
            </w:r>
          </w:p>
          <w:p w:rsidR="001D4FE6" w:rsidRPr="006E39B8" w:rsidRDefault="008442A1" w:rsidP="001D4FE6">
            <w:pPr>
              <w:rPr>
                <w:rFonts w:eastAsia="Times New Roman" w:cstheme="minorHAnsi"/>
                <w:sz w:val="16"/>
                <w:szCs w:val="16"/>
                <w:lang w:val="en-GB"/>
              </w:rPr>
            </w:pPr>
            <w:bookmarkStart w:id="0" w:name="_GoBack"/>
            <w:bookmarkEnd w:id="0"/>
            <w:r w:rsidRPr="0084351E">
              <w:rPr>
                <w:rFonts w:eastAsia="Times New Roman" w:cstheme="minorHAnsi"/>
                <w:sz w:val="16"/>
                <w:szCs w:val="16"/>
                <w:lang w:val="en-GB"/>
              </w:rPr>
              <w:t xml:space="preserve"> Ministry of Finance</w:t>
            </w:r>
          </w:p>
        </w:tc>
        <w:tc>
          <w:tcPr>
            <w:tcW w:w="517" w:type="pct"/>
            <w:shd w:val="clear" w:color="auto" w:fill="auto"/>
          </w:tcPr>
          <w:p w:rsidR="001D4FE6" w:rsidRPr="00375DA0" w:rsidRDefault="001D4FE6" w:rsidP="001D4FE6">
            <w:pPr>
              <w:rPr>
                <w:sz w:val="16"/>
                <w:szCs w:val="16"/>
                <w:lang w:val="en-GB"/>
              </w:rPr>
            </w:pPr>
          </w:p>
        </w:tc>
        <w:tc>
          <w:tcPr>
            <w:tcW w:w="643" w:type="pct"/>
            <w:shd w:val="clear" w:color="000000" w:fill="FFFFFF"/>
          </w:tcPr>
          <w:p w:rsidR="001D4FE6" w:rsidRPr="00375DA0" w:rsidRDefault="001D4FE6" w:rsidP="001D4FE6">
            <w:pPr>
              <w:rPr>
                <w:sz w:val="16"/>
                <w:szCs w:val="16"/>
                <w:lang w:val="en-GB"/>
              </w:rPr>
            </w:pPr>
          </w:p>
        </w:tc>
      </w:tr>
    </w:tbl>
    <w:p w:rsidR="0060549E" w:rsidRPr="00375DA0" w:rsidRDefault="0060549E" w:rsidP="00BB7835">
      <w:pPr>
        <w:rPr>
          <w:sz w:val="16"/>
          <w:szCs w:val="16"/>
          <w:lang w:val="en-GB"/>
        </w:rPr>
      </w:pPr>
    </w:p>
    <w:p w:rsidR="00807387" w:rsidRPr="00375DA0" w:rsidRDefault="00807387" w:rsidP="00BB7835">
      <w:pPr>
        <w:rPr>
          <w:sz w:val="16"/>
          <w:szCs w:val="16"/>
          <w:lang w:val="en-GB"/>
        </w:rPr>
      </w:pPr>
    </w:p>
    <w:sectPr w:rsidR="00807387" w:rsidRPr="00375D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75" w:rsidRDefault="00895375" w:rsidP="00994D7B">
      <w:pPr>
        <w:spacing w:after="0" w:line="240" w:lineRule="auto"/>
      </w:pPr>
      <w:r>
        <w:separator/>
      </w:r>
    </w:p>
  </w:endnote>
  <w:endnote w:type="continuationSeparator" w:id="0">
    <w:p w:rsidR="00895375" w:rsidRDefault="00895375" w:rsidP="0099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D7" w:rsidRDefault="000F4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317232"/>
      <w:docPartObj>
        <w:docPartGallery w:val="Page Numbers (Bottom of Page)"/>
        <w:docPartUnique/>
      </w:docPartObj>
    </w:sdtPr>
    <w:sdtEndPr>
      <w:rPr>
        <w:noProof/>
      </w:rPr>
    </w:sdtEndPr>
    <w:sdtContent>
      <w:p w:rsidR="000F48D7" w:rsidRDefault="000F48D7">
        <w:pPr>
          <w:pStyle w:val="Footer"/>
          <w:jc w:val="right"/>
        </w:pPr>
        <w:r>
          <w:fldChar w:fldCharType="begin"/>
        </w:r>
        <w:r>
          <w:instrText xml:space="preserve"> PAGE   \* MERGEFORMAT </w:instrText>
        </w:r>
        <w:r>
          <w:fldChar w:fldCharType="separate"/>
        </w:r>
        <w:r w:rsidR="006E39B8">
          <w:rPr>
            <w:noProof/>
          </w:rPr>
          <w:t>1</w:t>
        </w:r>
        <w:r>
          <w:rPr>
            <w:noProof/>
          </w:rPr>
          <w:fldChar w:fldCharType="end"/>
        </w:r>
      </w:p>
    </w:sdtContent>
  </w:sdt>
  <w:p w:rsidR="000F48D7" w:rsidRDefault="000F4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D7" w:rsidRDefault="000F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75" w:rsidRDefault="00895375" w:rsidP="00994D7B">
      <w:pPr>
        <w:spacing w:after="0" w:line="240" w:lineRule="auto"/>
      </w:pPr>
      <w:r>
        <w:separator/>
      </w:r>
    </w:p>
  </w:footnote>
  <w:footnote w:type="continuationSeparator" w:id="0">
    <w:p w:rsidR="00895375" w:rsidRDefault="00895375" w:rsidP="00994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D7" w:rsidRDefault="000F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D7" w:rsidRDefault="000F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D7" w:rsidRDefault="000F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E0D7C"/>
    <w:multiLevelType w:val="hybridMultilevel"/>
    <w:tmpl w:val="0EAC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1600C2"/>
    <w:multiLevelType w:val="hybridMultilevel"/>
    <w:tmpl w:val="7508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97"/>
    <w:rsid w:val="0003172B"/>
    <w:rsid w:val="000F48D7"/>
    <w:rsid w:val="001A3152"/>
    <w:rsid w:val="001B459A"/>
    <w:rsid w:val="001D4FE6"/>
    <w:rsid w:val="001D69CB"/>
    <w:rsid w:val="001D7F70"/>
    <w:rsid w:val="0023432B"/>
    <w:rsid w:val="00265DEC"/>
    <w:rsid w:val="002C789B"/>
    <w:rsid w:val="0032567E"/>
    <w:rsid w:val="00375DA0"/>
    <w:rsid w:val="003C104C"/>
    <w:rsid w:val="003C67B8"/>
    <w:rsid w:val="0046295C"/>
    <w:rsid w:val="00492215"/>
    <w:rsid w:val="004B4F9C"/>
    <w:rsid w:val="00527BF9"/>
    <w:rsid w:val="00565DD9"/>
    <w:rsid w:val="00580FA4"/>
    <w:rsid w:val="00595306"/>
    <w:rsid w:val="005D7017"/>
    <w:rsid w:val="0060549E"/>
    <w:rsid w:val="00670EE6"/>
    <w:rsid w:val="006C0571"/>
    <w:rsid w:val="006E39B8"/>
    <w:rsid w:val="006F061E"/>
    <w:rsid w:val="00730461"/>
    <w:rsid w:val="007D2E1B"/>
    <w:rsid w:val="00807387"/>
    <w:rsid w:val="008442A1"/>
    <w:rsid w:val="0088790C"/>
    <w:rsid w:val="00895375"/>
    <w:rsid w:val="008B164F"/>
    <w:rsid w:val="00994D7B"/>
    <w:rsid w:val="009B0317"/>
    <w:rsid w:val="009D7D6A"/>
    <w:rsid w:val="00A16D36"/>
    <w:rsid w:val="00A20946"/>
    <w:rsid w:val="00A3011C"/>
    <w:rsid w:val="00A30597"/>
    <w:rsid w:val="00B13884"/>
    <w:rsid w:val="00B80519"/>
    <w:rsid w:val="00B8126F"/>
    <w:rsid w:val="00B81EFA"/>
    <w:rsid w:val="00B83721"/>
    <w:rsid w:val="00BB7835"/>
    <w:rsid w:val="00C05CB4"/>
    <w:rsid w:val="00C24108"/>
    <w:rsid w:val="00C4737D"/>
    <w:rsid w:val="00C84AE7"/>
    <w:rsid w:val="00C87D2A"/>
    <w:rsid w:val="00CC6691"/>
    <w:rsid w:val="00D03F90"/>
    <w:rsid w:val="00D17E10"/>
    <w:rsid w:val="00D90757"/>
    <w:rsid w:val="00DD13B6"/>
    <w:rsid w:val="00DE4FD2"/>
    <w:rsid w:val="00DF3202"/>
    <w:rsid w:val="00E06599"/>
    <w:rsid w:val="00E855C1"/>
    <w:rsid w:val="00EA4281"/>
    <w:rsid w:val="00F1630B"/>
    <w:rsid w:val="00F57564"/>
    <w:rsid w:val="00FC741B"/>
    <w:rsid w:val="00FD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5350"/>
  <w15:chartTrackingRefBased/>
  <w15:docId w15:val="{7DAFACDD-53B3-4F31-B899-068BB38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64F"/>
    <w:pPr>
      <w:ind w:left="720"/>
      <w:contextualSpacing/>
    </w:pPr>
  </w:style>
  <w:style w:type="table" w:styleId="TableGrid">
    <w:name w:val="Table Grid"/>
    <w:basedOn w:val="TableNormal"/>
    <w:uiPriority w:val="39"/>
    <w:rsid w:val="00DD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4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D7B"/>
    <w:rPr>
      <w:sz w:val="20"/>
      <w:szCs w:val="20"/>
    </w:rPr>
  </w:style>
  <w:style w:type="character" w:styleId="FootnoteReference">
    <w:name w:val="footnote reference"/>
    <w:basedOn w:val="DefaultParagraphFont"/>
    <w:uiPriority w:val="99"/>
    <w:semiHidden/>
    <w:unhideWhenUsed/>
    <w:rsid w:val="00994D7B"/>
    <w:rPr>
      <w:vertAlign w:val="superscript"/>
    </w:rPr>
  </w:style>
  <w:style w:type="paragraph" w:styleId="Header">
    <w:name w:val="header"/>
    <w:basedOn w:val="Normal"/>
    <w:link w:val="HeaderChar"/>
    <w:uiPriority w:val="99"/>
    <w:unhideWhenUsed/>
    <w:rsid w:val="000F48D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F48D7"/>
  </w:style>
  <w:style w:type="paragraph" w:styleId="Footer">
    <w:name w:val="footer"/>
    <w:basedOn w:val="Normal"/>
    <w:link w:val="FooterChar"/>
    <w:uiPriority w:val="99"/>
    <w:unhideWhenUsed/>
    <w:rsid w:val="000F48D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F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879">
      <w:bodyDiv w:val="1"/>
      <w:marLeft w:val="0"/>
      <w:marRight w:val="0"/>
      <w:marTop w:val="0"/>
      <w:marBottom w:val="0"/>
      <w:divBdr>
        <w:top w:val="none" w:sz="0" w:space="0" w:color="auto"/>
        <w:left w:val="none" w:sz="0" w:space="0" w:color="auto"/>
        <w:bottom w:val="none" w:sz="0" w:space="0" w:color="auto"/>
        <w:right w:val="none" w:sz="0" w:space="0" w:color="auto"/>
      </w:divBdr>
    </w:div>
    <w:div w:id="112676671">
      <w:bodyDiv w:val="1"/>
      <w:marLeft w:val="0"/>
      <w:marRight w:val="0"/>
      <w:marTop w:val="0"/>
      <w:marBottom w:val="0"/>
      <w:divBdr>
        <w:top w:val="none" w:sz="0" w:space="0" w:color="auto"/>
        <w:left w:val="none" w:sz="0" w:space="0" w:color="auto"/>
        <w:bottom w:val="none" w:sz="0" w:space="0" w:color="auto"/>
        <w:right w:val="none" w:sz="0" w:space="0" w:color="auto"/>
      </w:divBdr>
    </w:div>
    <w:div w:id="145708441">
      <w:bodyDiv w:val="1"/>
      <w:marLeft w:val="0"/>
      <w:marRight w:val="0"/>
      <w:marTop w:val="0"/>
      <w:marBottom w:val="0"/>
      <w:divBdr>
        <w:top w:val="none" w:sz="0" w:space="0" w:color="auto"/>
        <w:left w:val="none" w:sz="0" w:space="0" w:color="auto"/>
        <w:bottom w:val="none" w:sz="0" w:space="0" w:color="auto"/>
        <w:right w:val="none" w:sz="0" w:space="0" w:color="auto"/>
      </w:divBdr>
    </w:div>
    <w:div w:id="291441669">
      <w:bodyDiv w:val="1"/>
      <w:marLeft w:val="0"/>
      <w:marRight w:val="0"/>
      <w:marTop w:val="0"/>
      <w:marBottom w:val="0"/>
      <w:divBdr>
        <w:top w:val="none" w:sz="0" w:space="0" w:color="auto"/>
        <w:left w:val="none" w:sz="0" w:space="0" w:color="auto"/>
        <w:bottom w:val="none" w:sz="0" w:space="0" w:color="auto"/>
        <w:right w:val="none" w:sz="0" w:space="0" w:color="auto"/>
      </w:divBdr>
    </w:div>
    <w:div w:id="466776103">
      <w:bodyDiv w:val="1"/>
      <w:marLeft w:val="0"/>
      <w:marRight w:val="0"/>
      <w:marTop w:val="0"/>
      <w:marBottom w:val="0"/>
      <w:divBdr>
        <w:top w:val="none" w:sz="0" w:space="0" w:color="auto"/>
        <w:left w:val="none" w:sz="0" w:space="0" w:color="auto"/>
        <w:bottom w:val="none" w:sz="0" w:space="0" w:color="auto"/>
        <w:right w:val="none" w:sz="0" w:space="0" w:color="auto"/>
      </w:divBdr>
    </w:div>
    <w:div w:id="532228889">
      <w:bodyDiv w:val="1"/>
      <w:marLeft w:val="0"/>
      <w:marRight w:val="0"/>
      <w:marTop w:val="0"/>
      <w:marBottom w:val="0"/>
      <w:divBdr>
        <w:top w:val="none" w:sz="0" w:space="0" w:color="auto"/>
        <w:left w:val="none" w:sz="0" w:space="0" w:color="auto"/>
        <w:bottom w:val="none" w:sz="0" w:space="0" w:color="auto"/>
        <w:right w:val="none" w:sz="0" w:space="0" w:color="auto"/>
      </w:divBdr>
    </w:div>
    <w:div w:id="921180643">
      <w:bodyDiv w:val="1"/>
      <w:marLeft w:val="0"/>
      <w:marRight w:val="0"/>
      <w:marTop w:val="0"/>
      <w:marBottom w:val="0"/>
      <w:divBdr>
        <w:top w:val="none" w:sz="0" w:space="0" w:color="auto"/>
        <w:left w:val="none" w:sz="0" w:space="0" w:color="auto"/>
        <w:bottom w:val="none" w:sz="0" w:space="0" w:color="auto"/>
        <w:right w:val="none" w:sz="0" w:space="0" w:color="auto"/>
      </w:divBdr>
    </w:div>
    <w:div w:id="1183857925">
      <w:bodyDiv w:val="1"/>
      <w:marLeft w:val="0"/>
      <w:marRight w:val="0"/>
      <w:marTop w:val="0"/>
      <w:marBottom w:val="0"/>
      <w:divBdr>
        <w:top w:val="none" w:sz="0" w:space="0" w:color="auto"/>
        <w:left w:val="none" w:sz="0" w:space="0" w:color="auto"/>
        <w:bottom w:val="none" w:sz="0" w:space="0" w:color="auto"/>
        <w:right w:val="none" w:sz="0" w:space="0" w:color="auto"/>
      </w:divBdr>
    </w:div>
    <w:div w:id="1616904392">
      <w:bodyDiv w:val="1"/>
      <w:marLeft w:val="0"/>
      <w:marRight w:val="0"/>
      <w:marTop w:val="0"/>
      <w:marBottom w:val="0"/>
      <w:divBdr>
        <w:top w:val="none" w:sz="0" w:space="0" w:color="auto"/>
        <w:left w:val="none" w:sz="0" w:space="0" w:color="auto"/>
        <w:bottom w:val="none" w:sz="0" w:space="0" w:color="auto"/>
        <w:right w:val="none" w:sz="0" w:space="0" w:color="auto"/>
      </w:divBdr>
    </w:div>
    <w:div w:id="1703819248">
      <w:bodyDiv w:val="1"/>
      <w:marLeft w:val="0"/>
      <w:marRight w:val="0"/>
      <w:marTop w:val="0"/>
      <w:marBottom w:val="0"/>
      <w:divBdr>
        <w:top w:val="none" w:sz="0" w:space="0" w:color="auto"/>
        <w:left w:val="none" w:sz="0" w:space="0" w:color="auto"/>
        <w:bottom w:val="none" w:sz="0" w:space="0" w:color="auto"/>
        <w:right w:val="none" w:sz="0" w:space="0" w:color="auto"/>
      </w:divBdr>
    </w:div>
    <w:div w:id="2005936010">
      <w:bodyDiv w:val="1"/>
      <w:marLeft w:val="0"/>
      <w:marRight w:val="0"/>
      <w:marTop w:val="0"/>
      <w:marBottom w:val="0"/>
      <w:divBdr>
        <w:top w:val="none" w:sz="0" w:space="0" w:color="auto"/>
        <w:left w:val="none" w:sz="0" w:space="0" w:color="auto"/>
        <w:bottom w:val="none" w:sz="0" w:space="0" w:color="auto"/>
        <w:right w:val="none" w:sz="0" w:space="0" w:color="auto"/>
      </w:divBdr>
    </w:div>
    <w:div w:id="2111850041">
      <w:bodyDiv w:val="1"/>
      <w:marLeft w:val="0"/>
      <w:marRight w:val="0"/>
      <w:marTop w:val="0"/>
      <w:marBottom w:val="0"/>
      <w:divBdr>
        <w:top w:val="none" w:sz="0" w:space="0" w:color="auto"/>
        <w:left w:val="none" w:sz="0" w:space="0" w:color="auto"/>
        <w:bottom w:val="none" w:sz="0" w:space="0" w:color="auto"/>
        <w:right w:val="none" w:sz="0" w:space="0" w:color="auto"/>
      </w:divBdr>
    </w:div>
    <w:div w:id="21405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E84C-6243-4B46-8810-F3A5E8BD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14</cp:revision>
  <dcterms:created xsi:type="dcterms:W3CDTF">2020-10-01T21:22:00Z</dcterms:created>
  <dcterms:modified xsi:type="dcterms:W3CDTF">2020-10-08T10:32:00Z</dcterms:modified>
</cp:coreProperties>
</file>